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Allison Ryan</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Explain</w:t>
      </w:r>
      <w:r w:rsidRPr="00154026">
        <w:rPr>
          <w:rFonts w:ascii="Arial" w:hAnsi="Arial" w:cs="Arial"/>
          <w:noProof/>
          <w:sz w:val="24"/>
          <w:szCs w:val="24"/>
        </w:rPr>
        <w:t xml:space="preserve"> the foundations of the Institute for Healthcare Improvement (IHI) Triple Aim Goals.</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 xml:space="preserve">2 Employ new techniques to access data to modify clinical practices. </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