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 PG</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i</w:t>
      </w:r>
      <w:r w:rsidRPr="00154026">
        <w:rPr>
          <w:rFonts w:ascii="Arial" w:hAnsi="Arial" w:cs="Arial"/>
          <w:noProof/>
          <w:sz w:val="24"/>
          <w:szCs w:val="24"/>
        </w:rPr>
        <w:t>. Explain the foundations of the institute for Healthcare Improvement (IHI) Triple Aim Goals.</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2 ii. Employ new techniques to access data to modify clinical practices.</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