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 KL</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Employ</w:t>
      </w:r>
      <w:r w:rsidRPr="00154026">
        <w:rPr>
          <w:rFonts w:ascii="Arial" w:hAnsi="Arial" w:cs="Arial"/>
          <w:noProof/>
          <w:sz w:val="24"/>
          <w:szCs w:val="24"/>
        </w:rPr>
        <w:t xml:space="preserve"> new techniques to access data to modify clinical practices </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Explain the foundations of the Institute for Healthcare Improvement 9IHI) Triple Aim Goals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